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特克斯县2024年</w:t>
      </w:r>
      <w:r>
        <w:rPr>
          <w:rFonts w:hint="eastAsia" w:ascii="方正小标宋简体" w:hAnsi="方正小标宋简体" w:eastAsia="方正小标宋简体" w:cs="方正小标宋简体"/>
          <w:kern w:val="0"/>
          <w:sz w:val="44"/>
          <w:szCs w:val="44"/>
        </w:rPr>
        <w:t>增发国债项目支出绩效评价报告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pStyle w:val="10"/>
        <w:jc w:val="both"/>
        <w:rPr>
          <w:rFonts w:hint="default" w:ascii="Times New Roman" w:hAnsi="Times New Roman" w:cs="Times New Roman"/>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特克斯县2024年</w:t>
      </w:r>
      <w:r>
        <w:rPr>
          <w:rFonts w:hint="default" w:ascii="Times New Roman" w:hAnsi="Times New Roman" w:eastAsia="仿宋_GB2312" w:cs="Times New Roman"/>
          <w:kern w:val="0"/>
          <w:sz w:val="32"/>
          <w:szCs w:val="32"/>
        </w:rPr>
        <w:t>增发国债项目</w:t>
      </w:r>
    </w:p>
    <w:p>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特克斯县水利服务站</w:t>
      </w:r>
    </w:p>
    <w:p>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特克斯县水利局</w:t>
      </w:r>
    </w:p>
    <w:p>
      <w:pPr>
        <w:spacing w:line="700" w:lineRule="exact"/>
        <w:ind w:firstLine="1280" w:firstLineChars="400"/>
        <w:jc w:val="left"/>
        <w:rPr>
          <w:rFonts w:hint="eastAsia"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刘志新</w:t>
      </w:r>
    </w:p>
    <w:p>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05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20</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40" w:lineRule="exact"/>
        <w:ind w:firstLine="640"/>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为贯彻落实国家乡村振兴发展战略与国家节水行动方案提出的</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加快灌区续建配套和节水改造，加快补齐农村基础设施短板，推动农村基础设施提档升级</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的有关部署，补齐灌区灌排工程基础设施短板、保障国家粮食安全、加快水利现代化和促进农业现代化，水利部组织开展全国中型灌区续建配套与节水改造方案编制工作。</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default" w:ascii="Times New Roman" w:hAnsi="Times New Roman" w:eastAsia="仿宋_GB2312" w:cs="Times New Roman"/>
          <w:highlight w:val="yellow"/>
          <w:lang w:val="en-US" w:eastAsia="zh-CN"/>
        </w:rPr>
      </w:pPr>
      <w:r>
        <w:rPr>
          <w:rFonts w:hint="default" w:ascii="Times New Roman" w:hAnsi="Times New Roman" w:eastAsia="仿宋_GB2312" w:cs="Times New Roman"/>
          <w:sz w:val="32"/>
          <w:szCs w:val="32"/>
          <w:lang w:val="en-US" w:eastAsia="zh-CN"/>
        </w:rPr>
        <w:t>项目主要内容：</w:t>
      </w:r>
      <w:r>
        <w:rPr>
          <w:rFonts w:hint="eastAsia" w:ascii="Times New Roman" w:hAnsi="Times New Roman" w:eastAsia="仿宋_GB2312" w:cs="Times New Roman"/>
          <w:sz w:val="32"/>
          <w:szCs w:val="32"/>
          <w:lang w:val="en-US" w:eastAsia="zh-CN"/>
        </w:rPr>
        <w:t>建设中型灌区项目1项，大中型除险加固项目2项，山洪沟治理项目1项。</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val="en-US" w:eastAsia="zh-CN"/>
        </w:rPr>
        <w:t>已完成</w:t>
      </w:r>
      <w:r>
        <w:rPr>
          <w:rFonts w:hint="eastAsia" w:ascii="Times New Roman" w:hAnsi="Times New Roman" w:eastAsia="仿宋_GB2312" w:cs="Times New Roman"/>
          <w:sz w:val="32"/>
          <w:szCs w:val="32"/>
          <w:lang w:val="en-US" w:eastAsia="zh-CN"/>
        </w:rPr>
        <w:t>中型灌区项目1项，大中型除险加固项目2项，山洪沟治理项目1项。</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w:t>
      </w:r>
      <w:r>
        <w:rPr>
          <w:rFonts w:hint="default" w:ascii="Times New Roman" w:hAnsi="Times New Roman" w:eastAsia="仿宋_GB2312" w:cs="Times New Roman"/>
          <w:color w:val="auto"/>
          <w:sz w:val="32"/>
          <w:szCs w:val="32"/>
          <w:highlight w:val="none"/>
          <w:lang w:val="en-US" w:eastAsia="zh-CN"/>
        </w:rPr>
        <w:t>年初预算数</w:t>
      </w:r>
      <w:r>
        <w:rPr>
          <w:rFonts w:hint="eastAsia" w:eastAsia="仿宋_GB2312" w:cs="Times New Roman"/>
          <w:color w:val="auto"/>
          <w:sz w:val="32"/>
          <w:szCs w:val="32"/>
          <w:highlight w:val="none"/>
          <w:lang w:val="en-US" w:eastAsia="zh-CN"/>
        </w:rPr>
        <w:t>16200</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16200</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新增增发国债项目</w:t>
      </w:r>
      <w:r>
        <w:rPr>
          <w:rFonts w:hint="default"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（财政拨款）</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16200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16200</w:t>
      </w:r>
      <w:r>
        <w:rPr>
          <w:rFonts w:hint="default" w:ascii="Times New Roman" w:hAnsi="Times New Roman" w:eastAsia="仿宋_GB2312" w:cs="Times New Roman"/>
          <w:sz w:val="32"/>
          <w:szCs w:val="32"/>
          <w:highlight w:val="none"/>
          <w:lang w:val="en-US" w:eastAsia="zh-CN"/>
        </w:rPr>
        <w:t>万元，全年执行数</w:t>
      </w:r>
      <w:r>
        <w:rPr>
          <w:rFonts w:hint="eastAsia" w:eastAsia="仿宋_GB2312" w:cs="Times New Roman"/>
          <w:sz w:val="32"/>
          <w:szCs w:val="32"/>
          <w:highlight w:val="none"/>
          <w:lang w:val="en-US" w:eastAsia="zh-CN"/>
        </w:rPr>
        <w:t>16200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eastAsia="仿宋_GB2312" w:cs="Times New Roman"/>
          <w:sz w:val="32"/>
          <w:szCs w:val="32"/>
          <w:highlight w:val="none"/>
          <w:lang w:val="en-US" w:eastAsia="zh-CN"/>
        </w:rPr>
        <w:t>项目建设</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建设中型灌区项目1项，大中型除险加固项目2项，山洪沟治理项目1项。</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阶段性目标</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建设中型灌区项目1项，大中型除险加固项目2项，山洪沟治理项目1项。</w:t>
      </w:r>
      <w:r>
        <w:rPr>
          <w:rFonts w:hint="eastAsia" w:eastAsia="仿宋_GB2312" w:cs="Times New Roman"/>
          <w:sz w:val="32"/>
          <w:szCs w:val="32"/>
          <w:lang w:val="en-US" w:eastAsia="zh-CN"/>
        </w:rPr>
        <w:t>计划2024年6月底前完成</w:t>
      </w:r>
      <w:r>
        <w:rPr>
          <w:rFonts w:hint="eastAsia" w:ascii="Times New Roman" w:hAnsi="Times New Roman" w:eastAsia="仿宋_GB2312" w:cs="Times New Roman"/>
          <w:sz w:val="32"/>
          <w:szCs w:val="32"/>
          <w:lang w:val="en-US" w:eastAsia="zh-CN"/>
        </w:rPr>
        <w:t>建设中型灌区项目1项</w:t>
      </w:r>
      <w:r>
        <w:rPr>
          <w:rFonts w:hint="eastAsia" w:eastAsia="仿宋_GB2312" w:cs="Times New Roman"/>
          <w:sz w:val="32"/>
          <w:szCs w:val="32"/>
          <w:lang w:val="en-US" w:eastAsia="zh-CN"/>
        </w:rPr>
        <w:t>完成总工程量50%</w:t>
      </w:r>
      <w:r>
        <w:rPr>
          <w:rFonts w:hint="eastAsia" w:ascii="Times New Roman" w:hAnsi="Times New Roman" w:eastAsia="仿宋_GB2312" w:cs="Times New Roman"/>
          <w:sz w:val="32"/>
          <w:szCs w:val="32"/>
          <w:lang w:val="en-US" w:eastAsia="zh-CN"/>
        </w:rPr>
        <w:t>，大中型除险加固项目2项</w:t>
      </w:r>
      <w:r>
        <w:rPr>
          <w:rFonts w:hint="eastAsia" w:eastAsia="仿宋_GB2312" w:cs="Times New Roman"/>
          <w:sz w:val="32"/>
          <w:szCs w:val="32"/>
          <w:lang w:val="en-US" w:eastAsia="zh-CN"/>
        </w:rPr>
        <w:t>，完成总工程量50%</w:t>
      </w:r>
      <w:r>
        <w:rPr>
          <w:rFonts w:hint="eastAsia" w:ascii="Times New Roman" w:hAnsi="Times New Roman" w:eastAsia="仿宋_GB2312" w:cs="Times New Roman"/>
          <w:sz w:val="32"/>
          <w:szCs w:val="32"/>
          <w:lang w:val="en-US" w:eastAsia="zh-CN"/>
        </w:rPr>
        <w:t>，山洪沟治理项目1项</w:t>
      </w:r>
      <w:r>
        <w:rPr>
          <w:rFonts w:hint="eastAsia" w:eastAsia="仿宋_GB2312" w:cs="Times New Roman"/>
          <w:sz w:val="32"/>
          <w:szCs w:val="32"/>
          <w:lang w:val="en-US" w:eastAsia="zh-CN"/>
        </w:rPr>
        <w:t>，完成总工程量50%。2024年12月底之前完成</w:t>
      </w:r>
      <w:r>
        <w:rPr>
          <w:rFonts w:hint="eastAsia" w:ascii="Times New Roman" w:hAnsi="Times New Roman" w:eastAsia="仿宋_GB2312" w:cs="Times New Roman"/>
          <w:sz w:val="32"/>
          <w:szCs w:val="32"/>
          <w:lang w:val="en-US" w:eastAsia="zh-CN"/>
        </w:rPr>
        <w:t>建设中型灌区项目1项</w:t>
      </w:r>
      <w:r>
        <w:rPr>
          <w:rFonts w:hint="eastAsia" w:eastAsia="仿宋_GB2312" w:cs="Times New Roman"/>
          <w:sz w:val="32"/>
          <w:szCs w:val="32"/>
          <w:lang w:val="en-US" w:eastAsia="zh-CN"/>
        </w:rPr>
        <w:t>完成总工程量100%</w:t>
      </w:r>
      <w:r>
        <w:rPr>
          <w:rFonts w:hint="eastAsia" w:ascii="Times New Roman" w:hAnsi="Times New Roman" w:eastAsia="仿宋_GB2312" w:cs="Times New Roman"/>
          <w:sz w:val="32"/>
          <w:szCs w:val="32"/>
          <w:lang w:val="en-US" w:eastAsia="zh-CN"/>
        </w:rPr>
        <w:t>，大中型除险加固项目2项</w:t>
      </w:r>
      <w:r>
        <w:rPr>
          <w:rFonts w:hint="eastAsia" w:eastAsia="仿宋_GB2312" w:cs="Times New Roman"/>
          <w:sz w:val="32"/>
          <w:szCs w:val="32"/>
          <w:lang w:val="en-US" w:eastAsia="zh-CN"/>
        </w:rPr>
        <w:t>，完成总工程量100%</w:t>
      </w:r>
      <w:r>
        <w:rPr>
          <w:rFonts w:hint="eastAsia" w:ascii="Times New Roman" w:hAnsi="Times New Roman" w:eastAsia="仿宋_GB2312" w:cs="Times New Roman"/>
          <w:sz w:val="32"/>
          <w:szCs w:val="32"/>
          <w:lang w:val="en-US" w:eastAsia="zh-CN"/>
        </w:rPr>
        <w:t>，山洪沟治理项目1项</w:t>
      </w:r>
      <w:r>
        <w:rPr>
          <w:rFonts w:hint="eastAsia" w:eastAsia="仿宋_GB2312" w:cs="Times New Roman"/>
          <w:sz w:val="32"/>
          <w:szCs w:val="32"/>
          <w:lang w:val="en-US" w:eastAsia="zh-CN"/>
        </w:rPr>
        <w:t>，完成总工程量100%。</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w:t>
      </w:r>
      <w:r>
        <w:rPr>
          <w:rFonts w:hint="default" w:ascii="Times New Roman" w:hAnsi="Times New Roman" w:eastAsia="仿宋_GB2312" w:cs="Times New Roman"/>
          <w:sz w:val="32"/>
          <w:szCs w:val="32"/>
          <w:highlight w:val="none"/>
          <w:lang w:val="en-US" w:eastAsia="zh-CN"/>
        </w:rPr>
        <w:t>（根据项目实际情况选填）</w:t>
      </w:r>
      <w:r>
        <w:rPr>
          <w:rFonts w:hint="default" w:ascii="Times New Roman" w:hAnsi="Times New Roman" w:eastAsia="仿宋_GB2312" w:cs="Times New Roman"/>
          <w:sz w:val="32"/>
          <w:szCs w:val="32"/>
          <w:highlight w:val="none"/>
        </w:rPr>
        <w:t>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sz w:val="32"/>
          <w:szCs w:val="32"/>
          <w:highlight w:val="none"/>
        </w:rPr>
        <w:t>本项目预算绩效评价报告的评价对象是</w:t>
      </w:r>
      <w:r>
        <w:rPr>
          <w:rFonts w:hint="eastAsia" w:ascii="Times New Roman" w:hAnsi="Times New Roman" w:eastAsia="仿宋_GB2312" w:cs="Times New Roman"/>
          <w:sz w:val="32"/>
          <w:szCs w:val="32"/>
          <w:highlight w:val="none"/>
          <w:lang w:val="en-US" w:eastAsia="zh-CN"/>
        </w:rPr>
        <w:t>特克斯县2024年</w:t>
      </w:r>
      <w:r>
        <w:rPr>
          <w:rFonts w:hint="default" w:ascii="Times New Roman" w:hAnsi="Times New Roman" w:eastAsia="仿宋_GB2312" w:cs="Times New Roman"/>
          <w:sz w:val="32"/>
          <w:szCs w:val="32"/>
          <w:highlight w:val="none"/>
        </w:rPr>
        <w:t>增发国债项目及其预算执行情况。该项目由</w:t>
      </w:r>
      <w:r>
        <w:rPr>
          <w:rFonts w:hint="eastAsia" w:ascii="Times New Roman" w:hAnsi="Times New Roman" w:eastAsia="仿宋_GB2312" w:cs="Times New Roman"/>
          <w:sz w:val="32"/>
          <w:szCs w:val="32"/>
          <w:highlight w:val="none"/>
          <w:lang w:val="en-US" w:eastAsia="zh-CN"/>
        </w:rPr>
        <w:t>特克斯县水利服务站</w:t>
      </w:r>
      <w:r>
        <w:rPr>
          <w:rFonts w:hint="default" w:ascii="Times New Roman" w:hAnsi="Times New Roman" w:eastAsia="仿宋_GB2312" w:cs="Times New Roman"/>
          <w:sz w:val="32"/>
          <w:szCs w:val="32"/>
          <w:highlight w:val="none"/>
        </w:rPr>
        <w:t>负责实施，旨在</w:t>
      </w:r>
      <w:r>
        <w:rPr>
          <w:rFonts w:hint="eastAsia" w:ascii="Times New Roman" w:hAnsi="Times New Roman" w:eastAsia="仿宋_GB2312" w:cs="Times New Roman"/>
          <w:sz w:val="32"/>
          <w:szCs w:val="32"/>
          <w:highlight w:val="none"/>
          <w:lang w:val="en-US" w:eastAsia="zh-CN"/>
        </w:rPr>
        <w:t>建设中型灌区项目1项，大中型除险加固项目2项，山洪沟治理项目1项。</w:t>
      </w:r>
      <w:r>
        <w:rPr>
          <w:rFonts w:hint="default" w:ascii="Times New Roman" w:hAnsi="Times New Roman" w:eastAsia="仿宋_GB2312" w:cs="Times New Roman"/>
          <w:sz w:val="32"/>
          <w:szCs w:val="32"/>
          <w:highlight w:val="none"/>
        </w:rPr>
        <w:t>项目预算涵盖从</w:t>
      </w:r>
      <w:r>
        <w:rPr>
          <w:rFonts w:hint="eastAsia" w:ascii="Times New Roman" w:hAnsi="Times New Roman" w:eastAsia="仿宋_GB2312" w:cs="Times New Roman"/>
          <w:sz w:val="32"/>
          <w:szCs w:val="32"/>
          <w:highlight w:val="none"/>
          <w:lang w:val="en-US" w:eastAsia="zh-CN"/>
        </w:rPr>
        <w:t>2024年3月</w:t>
      </w:r>
      <w:r>
        <w:rPr>
          <w:rFonts w:hint="default" w:ascii="Times New Roman" w:hAnsi="Times New Roman" w:eastAsia="仿宋_GB2312" w:cs="Times New Roman"/>
          <w:sz w:val="32"/>
          <w:szCs w:val="32"/>
          <w:highlight w:val="none"/>
        </w:rPr>
        <w:t>至</w:t>
      </w:r>
      <w:r>
        <w:rPr>
          <w:rFonts w:hint="eastAsia" w:ascii="Times New Roman" w:hAnsi="Times New Roman" w:eastAsia="仿宋_GB2312" w:cs="Times New Roman"/>
          <w:sz w:val="32"/>
          <w:szCs w:val="32"/>
          <w:highlight w:val="none"/>
          <w:lang w:val="en-US" w:eastAsia="zh-CN"/>
        </w:rPr>
        <w:t>2024年12月</w:t>
      </w:r>
      <w:r>
        <w:rPr>
          <w:rFonts w:hint="default" w:ascii="Times New Roman" w:hAnsi="Times New Roman" w:eastAsia="仿宋_GB2312" w:cs="Times New Roman"/>
          <w:sz w:val="32"/>
          <w:szCs w:val="32"/>
          <w:highlight w:val="none"/>
        </w:rPr>
        <w:t>的全部资金投入与支出，涉及资金总额为</w:t>
      </w:r>
      <w:r>
        <w:rPr>
          <w:rFonts w:hint="eastAsia" w:ascii="Times New Roman" w:hAnsi="Times New Roman" w:eastAsia="仿宋_GB2312" w:cs="Times New Roman"/>
          <w:sz w:val="32"/>
          <w:szCs w:val="32"/>
          <w:highlight w:val="none"/>
          <w:lang w:val="en-US" w:eastAsia="zh-CN"/>
        </w:rPr>
        <w:t>16200</w:t>
      </w:r>
      <w:r>
        <w:rPr>
          <w:rFonts w:hint="default" w:ascii="Times New Roman" w:hAnsi="Times New Roman" w:eastAsia="仿宋_GB2312" w:cs="Times New Roman"/>
          <w:sz w:val="32"/>
          <w:szCs w:val="32"/>
          <w:highlight w:val="none"/>
          <w:lang w:val="en-US" w:eastAsia="zh-CN"/>
        </w:rPr>
        <w:t>万</w:t>
      </w:r>
      <w:r>
        <w:rPr>
          <w:rFonts w:hint="default" w:ascii="Times New Roman" w:hAnsi="Times New Roman" w:eastAsia="仿宋_GB2312" w:cs="Times New Roman"/>
          <w:sz w:val="32"/>
          <w:szCs w:val="32"/>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、经济等方面的综合影响。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评价指标体系</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绩效评价框架是开展绩效评价的核心。绩效评价框架包括评价准则、关键评价问题、评价指标、数据来源、数据收集方法等。指标体系建立过程如下：</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（1）确定评价指标</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采用层次分析法，建立评价指标体系。绩效评价将指标分为项目决策指标、项目过程指标、项目产出指标、项目效益指标四个维度，最终形成一个由多个相互联系的指标组成的多层次指标体系。</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（2）确定权重</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确定各个指标相对于项目总体绩效的权重分值。在绩效评价指标体系中，项目决策权重为20分，项目过程权重为20分，项目产出权重为40分，项目效益权重为20分。</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（3）确定指标标准值</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绩效评价总分值100分，根据综合评分结果，90（含）-100分为优、80（含）-90分为良、60（含）-80分为中、60分以下为差。</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具体评价指标体系详情见附件1</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绩效评价从项目决策、项目过程、项目产出、项目效益四个维度进行评价。评价对象为项目目标实施情况，  评价核心为资金的支出完成情况和项目的产出效益。</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本次评价指标中，既有定性指标又有定量指标，各类指标因考核内容不同和客观标准不同存在较大差异，因此核定具体指标时采用了不同方法，具体评价方法如下：</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（一）成本效益分析法。是指将投入与产出、效益进行关联性分析的方法。</w:t>
      </w:r>
      <w:r>
        <w:rPr>
          <w:rFonts w:hint="eastAsia" w:ascii="Times New Roman" w:hAnsi="Times New Roman" w:eastAsia="仿宋_GB2312" w:cs="Times New Roman"/>
          <w:b w:val="0"/>
          <w:bCs w:val="0"/>
          <w:lang w:val="en-US" w:eastAsia="zh-CN"/>
        </w:rPr>
        <w:t>原因：成本效益分析法可以将各种因素进行量化。在做决策时，无论是投资一个项目、实施一项政策还是进行一项活动，都涉及到多方面的考量。比如，要建设一座桥梁，通过成本效益分析法，可以把建桥所需的材料成本、人工成本、时间成本等都用货币价值来衡量，同时也把桥梁建成后带来的交通便利、经济发展等效益也用货币量化。这样就能够直观地对比成本和效益，从而判断建桥这个决策是否值得去做。</w:t>
      </w:r>
      <w:r>
        <w:rPr>
          <w:rFonts w:hint="default" w:ascii="Times New Roman" w:hAnsi="Times New Roman" w:eastAsia="仿宋_GB2312" w:cs="Times New Roman"/>
          <w:b w:val="0"/>
          <w:bCs w:val="0"/>
        </w:rPr>
        <w:t xml:space="preserve"> </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评价标准</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r>
        <w:rPr>
          <w:rFonts w:hint="eastAsia" w:ascii="Times New Roman" w:hAnsi="Times New Roman" w:eastAsia="仿宋_GB2312" w:cs="Times New Roman"/>
          <w:b w:val="0"/>
          <w:bCs w:val="0"/>
          <w:lang w:val="en-US" w:eastAsia="zh-CN"/>
        </w:rPr>
        <w:t>原因：计划标准是基于预先设定的目标和计划制定的。比如学校制定本学期的教学计划，规定了每个学科要达到的教学目标、学生应掌握的知识和技能等。以这个计划标准来评价教学成果，就可以清楚地知道教学工作是否朝着既定目标前进，有没有偏离方向。它为评价提供了一个明确的方向指引，让</w:t>
      </w:r>
      <w:r>
        <w:rPr>
          <w:rFonts w:hint="eastAsia" w:ascii="Times New Roman" w:hAnsi="Times New Roman" w:eastAsia="仿宋_GB2312" w:cs="Times New Roman"/>
          <w:b w:val="0"/>
          <w:bCs w:val="0"/>
          <w:highlight w:val="none"/>
          <w:lang w:val="en-US" w:eastAsia="zh-CN"/>
        </w:rPr>
        <w:t>评价者和被评价者都清楚知道努力的目标是什么。</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本项目的综合评价基于对项目各方面绩效的深入分析与评估。从项目目标的达成情况来看，</w:t>
      </w:r>
      <w:r>
        <w:rPr>
          <w:rFonts w:hint="eastAsia" w:ascii="Times New Roman" w:hAnsi="Times New Roman" w:eastAsia="仿宋_GB2312" w:cs="Times New Roman"/>
          <w:kern w:val="2"/>
          <w:sz w:val="32"/>
          <w:szCs w:val="32"/>
          <w:highlight w:val="none"/>
          <w:lang w:val="en-US" w:eastAsia="zh-CN" w:bidi="ar-SA"/>
        </w:rPr>
        <w:t>特克斯县2024年</w:t>
      </w:r>
      <w:r>
        <w:rPr>
          <w:rFonts w:hint="default" w:ascii="Times New Roman" w:hAnsi="Times New Roman" w:eastAsia="仿宋_GB2312" w:cs="Times New Roman"/>
          <w:kern w:val="2"/>
          <w:sz w:val="32"/>
          <w:szCs w:val="32"/>
          <w:highlight w:val="none"/>
          <w:lang w:val="en-US" w:eastAsia="zh-CN" w:bidi="ar-SA"/>
        </w:rPr>
        <w:t>增发国债项目在</w:t>
      </w:r>
      <w:r>
        <w:rPr>
          <w:rFonts w:hint="eastAsia" w:ascii="Times New Roman" w:hAnsi="Times New Roman" w:eastAsia="仿宋_GB2312" w:cs="Times New Roman"/>
          <w:kern w:val="2"/>
          <w:sz w:val="32"/>
          <w:szCs w:val="32"/>
          <w:highlight w:val="none"/>
          <w:lang w:val="en-US" w:eastAsia="zh-CN" w:bidi="ar-SA"/>
        </w:rPr>
        <w:t>建设中型灌区，大中型除险加固，山洪沟治理</w:t>
      </w:r>
      <w:r>
        <w:rPr>
          <w:rFonts w:hint="default" w:ascii="Times New Roman" w:hAnsi="Times New Roman" w:eastAsia="仿宋_GB2312" w:cs="Times New Roman"/>
          <w:kern w:val="2"/>
          <w:sz w:val="32"/>
          <w:szCs w:val="32"/>
          <w:highlight w:val="none"/>
          <w:lang w:val="en-US" w:eastAsia="zh-CN" w:bidi="ar-SA"/>
        </w:rPr>
        <w:t>等方面表现出色，达到了预期的标准与要求。同时，项目也在</w:t>
      </w:r>
      <w:r>
        <w:rPr>
          <w:rFonts w:hint="eastAsia" w:ascii="Times New Roman" w:hAnsi="Times New Roman" w:eastAsia="仿宋_GB2312" w:cs="Times New Roman"/>
          <w:kern w:val="2"/>
          <w:sz w:val="32"/>
          <w:szCs w:val="32"/>
          <w:highlight w:val="none"/>
          <w:lang w:val="en-US" w:eastAsia="zh-CN" w:bidi="ar-SA"/>
        </w:rPr>
        <w:t>改善灌溉面积</w:t>
      </w:r>
      <w:r>
        <w:rPr>
          <w:rFonts w:hint="default" w:ascii="Times New Roman" w:hAnsi="Times New Roman" w:eastAsia="仿宋_GB2312" w:cs="Times New Roman"/>
          <w:kern w:val="2"/>
          <w:sz w:val="32"/>
          <w:szCs w:val="32"/>
          <w:highlight w:val="none"/>
          <w:lang w:val="en-US" w:eastAsia="zh-CN" w:bidi="ar-SA"/>
        </w:rPr>
        <w:t>取得了显著的成效，如</w:t>
      </w:r>
      <w:r>
        <w:rPr>
          <w:rFonts w:hint="eastAsia" w:ascii="Times New Roman" w:hAnsi="Times New Roman" w:eastAsia="仿宋_GB2312" w:cs="Times New Roman"/>
          <w:kern w:val="2"/>
          <w:sz w:val="32"/>
          <w:szCs w:val="32"/>
          <w:highlight w:val="none"/>
          <w:lang w:val="en-US" w:eastAsia="zh-CN" w:bidi="ar-SA"/>
        </w:rPr>
        <w:t>改善灌溉面积14.01万亩</w:t>
      </w:r>
      <w:r>
        <w:rPr>
          <w:rFonts w:hint="default" w:ascii="Times New Roman" w:hAnsi="Times New Roman" w:eastAsia="仿宋_GB2312" w:cs="Times New Roman"/>
          <w:kern w:val="2"/>
          <w:sz w:val="32"/>
          <w:szCs w:val="32"/>
          <w:highlight w:val="none"/>
          <w:lang w:val="en-US" w:eastAsia="zh-CN" w:bidi="ar-SA"/>
        </w:rPr>
        <w:t>、在项目管理方面，</w:t>
      </w:r>
      <w:r>
        <w:rPr>
          <w:rFonts w:hint="eastAsia" w:ascii="Times New Roman" w:hAnsi="Times New Roman" w:eastAsia="仿宋_GB2312" w:cs="Times New Roman"/>
          <w:kern w:val="2"/>
          <w:sz w:val="32"/>
          <w:szCs w:val="32"/>
          <w:highlight w:val="none"/>
          <w:lang w:val="en-US" w:eastAsia="zh-CN" w:bidi="ar-SA"/>
        </w:rPr>
        <w:t>特克斯县水利服务站</w:t>
      </w:r>
      <w:r>
        <w:rPr>
          <w:rFonts w:hint="default" w:ascii="Times New Roman" w:hAnsi="Times New Roman" w:eastAsia="仿宋_GB2312" w:cs="Times New Roman"/>
          <w:kern w:val="2"/>
          <w:sz w:val="32"/>
          <w:szCs w:val="32"/>
          <w:highlight w:val="none"/>
          <w:lang w:val="en-US" w:eastAsia="zh-CN" w:bidi="ar-SA"/>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从项目效益的角度来看，本项目不仅实现了预期的社会效益、</w:t>
      </w:r>
      <w:r>
        <w:rPr>
          <w:rFonts w:hint="eastAsia" w:ascii="Times New Roman" w:hAnsi="Times New Roman" w:eastAsia="仿宋_GB2312" w:cs="Times New Roman"/>
          <w:kern w:val="2"/>
          <w:sz w:val="32"/>
          <w:szCs w:val="32"/>
          <w:highlight w:val="none"/>
          <w:lang w:val="en-US" w:eastAsia="zh-CN" w:bidi="ar-SA"/>
        </w:rPr>
        <w:t>生态</w:t>
      </w:r>
      <w:r>
        <w:rPr>
          <w:rFonts w:hint="default" w:ascii="Times New Roman" w:hAnsi="Times New Roman" w:eastAsia="仿宋_GB2312" w:cs="Times New Roman"/>
          <w:kern w:val="2"/>
          <w:sz w:val="32"/>
          <w:szCs w:val="32"/>
          <w:highlight w:val="none"/>
          <w:lang w:val="en-US" w:eastAsia="zh-CN" w:bidi="ar-SA"/>
        </w:rPr>
        <w:t>效益</w:t>
      </w:r>
      <w:r>
        <w:rPr>
          <w:rFonts w:hint="eastAsia" w:ascii="Times New Roman" w:hAnsi="Times New Roman" w:eastAsia="仿宋_GB2312" w:cs="Times New Roman"/>
          <w:kern w:val="2"/>
          <w:sz w:val="32"/>
          <w:szCs w:val="32"/>
          <w:highlight w:val="none"/>
          <w:lang w:val="en-US" w:eastAsia="zh-CN" w:bidi="ar-SA"/>
        </w:rPr>
        <w:t>、经济效益</w:t>
      </w:r>
      <w:r>
        <w:rPr>
          <w:rFonts w:hint="default" w:ascii="Times New Roman" w:hAnsi="Times New Roman" w:eastAsia="仿宋_GB2312" w:cs="Times New Roman"/>
          <w:kern w:val="2"/>
          <w:sz w:val="32"/>
          <w:szCs w:val="32"/>
          <w:highlight w:val="none"/>
          <w:lang w:val="en-US" w:eastAsia="zh-CN" w:bidi="ar-SA"/>
        </w:rPr>
        <w:t>等方面产生了积极的影响。具体而言，</w:t>
      </w:r>
      <w:r>
        <w:rPr>
          <w:rFonts w:hint="eastAsia" w:ascii="Times New Roman" w:hAnsi="Times New Roman" w:eastAsia="仿宋_GB2312" w:cs="Times New Roman"/>
          <w:kern w:val="2"/>
          <w:sz w:val="32"/>
          <w:szCs w:val="32"/>
          <w:highlight w:val="none"/>
          <w:lang w:val="en-US" w:eastAsia="zh-CN" w:bidi="ar-SA"/>
        </w:rPr>
        <w:t>改善灌溉面，改善农牧民生活条件</w:t>
      </w:r>
      <w:r>
        <w:rPr>
          <w:rFonts w:hint="default" w:ascii="Times New Roman" w:hAnsi="Times New Roman" w:eastAsia="仿宋_GB2312" w:cs="Times New Roman"/>
          <w:kern w:val="2"/>
          <w:sz w:val="32"/>
          <w:szCs w:val="32"/>
          <w:highlight w:val="none"/>
          <w:lang w:val="en-US" w:eastAsia="zh-CN" w:bidi="ar-SA"/>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综上所述，</w:t>
      </w:r>
      <w:r>
        <w:rPr>
          <w:rFonts w:hint="eastAsia" w:ascii="Times New Roman" w:hAnsi="Times New Roman" w:eastAsia="仿宋_GB2312" w:cs="Times New Roman"/>
          <w:kern w:val="2"/>
          <w:sz w:val="32"/>
          <w:szCs w:val="32"/>
          <w:highlight w:val="none"/>
          <w:lang w:val="en-US" w:eastAsia="zh-CN" w:bidi="ar-SA"/>
        </w:rPr>
        <w:t>特克斯县2024年</w:t>
      </w:r>
      <w:r>
        <w:rPr>
          <w:rFonts w:hint="default" w:ascii="Times New Roman" w:hAnsi="Times New Roman" w:eastAsia="仿宋_GB2312" w:cs="Times New Roman"/>
          <w:kern w:val="2"/>
          <w:sz w:val="32"/>
          <w:szCs w:val="32"/>
          <w:highlight w:val="none"/>
          <w:lang w:val="en-US" w:eastAsia="zh-CN" w:bidi="ar-SA"/>
        </w:rPr>
        <w:t>增发国债项目在绩效评价中表现出色，达到了项目的预期目标，并在多个方面取得了显著的成效。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分，属于“优（良/中/差）”。其中，项目决策类指标权重为20分，得分为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w:t>
      </w:r>
      <w:r>
        <w:rPr>
          <w:rFonts w:hint="default" w:ascii="Times New Roman" w:hAnsi="Times New Roman" w:eastAsia="仿宋_GB2312" w:cs="Times New Roman"/>
          <w:b w:val="0"/>
          <w:bCs w:val="0"/>
        </w:rPr>
        <w:t>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w:t>
      </w:r>
      <w:r>
        <w:rPr>
          <w:rFonts w:hint="default" w:ascii="Times New Roman" w:hAnsi="Times New Roman" w:eastAsia="仿宋_GB2312" w:cs="Times New Roman"/>
          <w:sz w:val="32"/>
          <w:szCs w:val="32"/>
          <w:highlight w:val="none"/>
          <w:lang w:val="en-US" w:eastAsia="zh-CN"/>
        </w:rPr>
        <w:t>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16200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16200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方面的内容，由</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个三级指标构成，权重分为40分，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建设中型灌区，</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1座</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1座</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指标2：数量指标：建设大中型除险加固项目，</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2项</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2项</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指标3：数量指标：建设山洪沟治理项目，数量指标：1项，</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1项</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指标：质量指标：工程验收合格率，指标值：100%，实际完成值：100%，指标完成率100%。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 xml:space="preserve">指标：质量指标：截止2024年底投资完成比例，指标值：100%，实际完成值：100%，指标完成率100%。     </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w:t>
      </w:r>
      <w:r>
        <w:rPr>
          <w:rFonts w:hint="eastAsia" w:eastAsia="楷体_GB2312" w:cs="Times New Roman"/>
          <w:b/>
          <w:bCs/>
          <w:sz w:val="32"/>
          <w:szCs w:val="32"/>
          <w:lang w:val="en-US" w:eastAsia="zh-CN"/>
        </w:rPr>
        <w:t>成本情况</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指标包括</w:t>
      </w:r>
      <w:r>
        <w:rPr>
          <w:rFonts w:hint="eastAsia" w:eastAsia="仿宋_GB2312" w:cs="Times New Roman"/>
          <w:sz w:val="32"/>
          <w:szCs w:val="32"/>
          <w:lang w:val="en-US" w:eastAsia="zh-CN"/>
        </w:rPr>
        <w:t>经济成本指标</w:t>
      </w:r>
      <w:r>
        <w:rPr>
          <w:rFonts w:hint="default" w:ascii="Times New Roman" w:hAnsi="Times New Roman" w:eastAsia="仿宋_GB2312" w:cs="Times New Roman"/>
          <w:sz w:val="32"/>
          <w:szCs w:val="32"/>
          <w:lang w:val="en-US" w:eastAsia="zh-CN"/>
        </w:rPr>
        <w:t>内容，由</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r>
        <w:rPr>
          <w:rFonts w:hint="eastAsia"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经济成本</w:t>
      </w:r>
      <w:r>
        <w:rPr>
          <w:rFonts w:hint="default" w:ascii="Times New Roman" w:hAnsi="Times New Roman" w:eastAsia="仿宋_GB2312" w:cs="Times New Roman"/>
          <w:sz w:val="32"/>
          <w:szCs w:val="32"/>
          <w:highlight w:val="none"/>
        </w:rPr>
        <w:t>指标：</w:t>
      </w:r>
    </w:p>
    <w:p>
      <w:pPr>
        <w:pStyle w:val="12"/>
        <w:numPr>
          <w:ilvl w:val="0"/>
          <w:numId w:val="0"/>
        </w:num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 xml:space="preserve">指标1：经济成本指标：建设中型灌区项目成本，指标值：11200万元，实际完成值：11200万元，指标完成率100%。 </w:t>
      </w:r>
    </w:p>
    <w:p>
      <w:pPr>
        <w:pStyle w:val="12"/>
        <w:numPr>
          <w:ilvl w:val="0"/>
          <w:numId w:val="0"/>
        </w:num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 xml:space="preserve">指标2：经济成本指标：建设大中型除险加固项目（团结渠）成本，指标值：2000万元，实际完成值：2000万元，指标完成率100%。  </w:t>
      </w:r>
    </w:p>
    <w:p>
      <w:pPr>
        <w:pStyle w:val="12"/>
        <w:numPr>
          <w:ilvl w:val="0"/>
          <w:numId w:val="0"/>
        </w:num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 xml:space="preserve">指标3：经济成本指标：建设大中型除险加固项目（友谊渠）成本，指标值：2000万元，实际完成值：2000万元，指标完成率100%。 </w:t>
      </w:r>
    </w:p>
    <w:p>
      <w:pPr>
        <w:pStyle w:val="12"/>
        <w:numPr>
          <w:ilvl w:val="0"/>
          <w:numId w:val="0"/>
        </w:numPr>
        <w:spacing w:line="560" w:lineRule="exact"/>
        <w:ind w:firstLine="640" w:firstLineChars="20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指标4：经济成本指标：建设山洪沟治理项目成本，指标值：1000万元，实际完成值：1000万元，指标完成率100%。</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w:t>
      </w:r>
      <w:r>
        <w:rPr>
          <w:rFonts w:hint="default" w:ascii="Times New Roman" w:hAnsi="Times New Roman" w:eastAsia="仿宋_GB2312" w:cs="Times New Roman"/>
          <w:sz w:val="32"/>
          <w:szCs w:val="32"/>
          <w:highlight w:val="none"/>
          <w:lang w:val="en-US" w:eastAsia="zh-CN"/>
        </w:rPr>
        <w:t>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w:t>
      </w:r>
      <w:r>
        <w:rPr>
          <w:rFonts w:hint="default" w:ascii="Times New Roman" w:hAnsi="Times New Roman" w:eastAsia="仿宋_GB2312" w:cs="Times New Roman"/>
          <w:sz w:val="32"/>
          <w:szCs w:val="32"/>
          <w:lang w:val="en-US" w:eastAsia="zh-CN"/>
        </w:rPr>
        <w:t>益指标及满意度指标完成情况如下：</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240" w:lineRule="auto"/>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 xml:space="preserve">指标：社会指标：改善灌溉面积，指标值：14.05万亩，实际完成值：14.05万亩，指标完成率100%。 </w:t>
      </w:r>
    </w:p>
    <w:p>
      <w:pPr>
        <w:shd w:val="clear"/>
        <w:spacing w:line="240" w:lineRule="auto"/>
        <w:ind w:firstLine="0" w:firstLineChars="0"/>
        <w:outlineLvl w:val="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 xml:space="preserve">    ②</w:t>
      </w:r>
      <w:r>
        <w:rPr>
          <w:rFonts w:hint="default" w:ascii="Times New Roman" w:hAnsi="Times New Roman" w:eastAsia="仿宋_GB2312" w:cs="Times New Roman"/>
          <w:sz w:val="32"/>
          <w:szCs w:val="32"/>
          <w:highlight w:val="none"/>
          <w:lang w:val="en-US" w:eastAsia="zh-CN"/>
        </w:rPr>
        <w:t>生态效益指标</w:t>
      </w:r>
      <w:r>
        <w:rPr>
          <w:rFonts w:hint="default" w:ascii="Times New Roman" w:hAnsi="Times New Roman" w:eastAsia="仿宋_GB2312" w:cs="Times New Roman"/>
          <w:sz w:val="32"/>
          <w:szCs w:val="32"/>
          <w:highlight w:val="none"/>
        </w:rPr>
        <w:t>：</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 xml:space="preserve">指标：生态指标：已建工程良性运行，指标值：是，实际完成值：是。 </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指标：满意度指标：收益群众满意度，指标值：≥90%，实际完成值：95%，指标完成率100%。</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特克斯县2024年新增国债</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16200</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16200</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16200</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特克斯县2024年新增增发国债</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bookmarkStart w:id="3" w:name="_GoBack"/>
      <w:bookmarkEnd w:id="3"/>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特克斯县2024年新增增发国债项目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特克斯县水利局</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特克斯县水利服务站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16200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16200</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16200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16200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16200</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16200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建设中型灌区项目1项，大中型除险加固项目2项，山洪沟治理项目1项。</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完成建设中型灌区项目1项，大中型除险加固项目2项，山洪沟治理项目1项。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建设中型灌区（座）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1座</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1座</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建设大中型除险加固项目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2项</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2项</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建设山洪沟治理项目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1项</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1项</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工程验收合格率（%）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截止2024年底，投资完成比例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建设中型灌区成本</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16200万元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16200万元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建设大中型除险加固项目（友谊渠）成本</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2000万元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2000万元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建设大中型除险加固项目（团结渠）成本</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2000万元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2000万元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建设山洪沟治理项目成本</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1000万元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1000万元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改善灌溉面积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14.05万亩</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14.05万亩</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已建工程是否良性运行</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是</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是</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收益群众满意度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7635437"/>
    <w:rsid w:val="0AD007F3"/>
    <w:rsid w:val="0E3C619F"/>
    <w:rsid w:val="100D7DF3"/>
    <w:rsid w:val="100F38EC"/>
    <w:rsid w:val="11170296"/>
    <w:rsid w:val="12C66037"/>
    <w:rsid w:val="12CD1ABC"/>
    <w:rsid w:val="13471461"/>
    <w:rsid w:val="13B90F01"/>
    <w:rsid w:val="15393438"/>
    <w:rsid w:val="155E4C4D"/>
    <w:rsid w:val="16561225"/>
    <w:rsid w:val="181066D2"/>
    <w:rsid w:val="1C671E73"/>
    <w:rsid w:val="1D322C47"/>
    <w:rsid w:val="23616034"/>
    <w:rsid w:val="23696C97"/>
    <w:rsid w:val="24480FA2"/>
    <w:rsid w:val="25227A45"/>
    <w:rsid w:val="26AC3A6A"/>
    <w:rsid w:val="2B9D7E25"/>
    <w:rsid w:val="2C7C7A3B"/>
    <w:rsid w:val="2F364819"/>
    <w:rsid w:val="2FD63906"/>
    <w:rsid w:val="31627A2D"/>
    <w:rsid w:val="37215DAE"/>
    <w:rsid w:val="38CA40DD"/>
    <w:rsid w:val="395F2B56"/>
    <w:rsid w:val="3BBA0580"/>
    <w:rsid w:val="3BECE841"/>
    <w:rsid w:val="3CDE204C"/>
    <w:rsid w:val="3D363C36"/>
    <w:rsid w:val="3E9C3F6D"/>
    <w:rsid w:val="3FF7797D"/>
    <w:rsid w:val="46690BD8"/>
    <w:rsid w:val="49F70BF1"/>
    <w:rsid w:val="4B4340EE"/>
    <w:rsid w:val="503D507A"/>
    <w:rsid w:val="51A6201B"/>
    <w:rsid w:val="51FA74D0"/>
    <w:rsid w:val="52AA4A52"/>
    <w:rsid w:val="55F3338A"/>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22C3CE5"/>
    <w:rsid w:val="642B176B"/>
    <w:rsid w:val="643EE26D"/>
    <w:rsid w:val="656019A0"/>
    <w:rsid w:val="65A550CF"/>
    <w:rsid w:val="65F242EE"/>
    <w:rsid w:val="666D7E19"/>
    <w:rsid w:val="68376930"/>
    <w:rsid w:val="68F91E38"/>
    <w:rsid w:val="6B3158B9"/>
    <w:rsid w:val="6B6B0EE7"/>
    <w:rsid w:val="6BA02A3F"/>
    <w:rsid w:val="6C1E5A53"/>
    <w:rsid w:val="6D9362A4"/>
    <w:rsid w:val="6E4A646C"/>
    <w:rsid w:val="6F5C41AC"/>
    <w:rsid w:val="6FAF6C78"/>
    <w:rsid w:val="716167CC"/>
    <w:rsid w:val="718A7AD1"/>
    <w:rsid w:val="72A44BC2"/>
    <w:rsid w:val="7317C656"/>
    <w:rsid w:val="734ED73F"/>
    <w:rsid w:val="73C82B32"/>
    <w:rsid w:val="73F94DAE"/>
    <w:rsid w:val="74220495"/>
    <w:rsid w:val="745919DD"/>
    <w:rsid w:val="747D1B6F"/>
    <w:rsid w:val="749E5641"/>
    <w:rsid w:val="76271066"/>
    <w:rsid w:val="77FD8BE9"/>
    <w:rsid w:val="78000AED"/>
    <w:rsid w:val="79A9BD3F"/>
    <w:rsid w:val="79CB5943"/>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12415</Words>
  <Characters>12872</Characters>
  <Lines>58</Lines>
  <Paragraphs>16</Paragraphs>
  <TotalTime>27</TotalTime>
  <ScaleCrop>false</ScaleCrop>
  <LinksUpToDate>false</LinksUpToDate>
  <CharactersWithSpaces>12907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2025-07-22T10:32:47Z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176B9D92B76B40AC87BD7BFD7B5F65D6_13</vt:lpwstr>
  </property>
  <property fmtid="{D5CDD505-2E9C-101B-9397-08002B2CF9AE}" pid="4" name="KSOTemplateDocerSaveRecord">
    <vt:lpwstr>eyJoZGlkIjoiOTA0MWRhYTFhMjFiNGFjMGYwYmRlMzM5NjY1ZjlkMTkiLCJ1c2VySWQiOiIzNDUwODYyNTQifQ==</vt:lpwstr>
  </property>
</Properties>
</file>